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0D8BF" w14:textId="77777777" w:rsidR="00700A11" w:rsidRDefault="00700A11" w:rsidP="00700A11">
      <w:pPr>
        <w:spacing w:line="360" w:lineRule="auto"/>
        <w:ind w:left="60"/>
        <w:jc w:val="both"/>
      </w:pPr>
    </w:p>
    <w:p w14:paraId="759809F3" w14:textId="77777777" w:rsidR="00700A11" w:rsidRPr="00EC6D38" w:rsidRDefault="00700A11" w:rsidP="00700A11">
      <w:pPr>
        <w:spacing w:line="360" w:lineRule="auto"/>
        <w:jc w:val="center"/>
        <w:rPr>
          <w:b/>
        </w:rPr>
      </w:pPr>
      <w:r w:rsidRPr="00EC6D38">
        <w:rPr>
          <w:b/>
        </w:rPr>
        <w:t xml:space="preserve">Autopoprawka Wójta Gminy </w:t>
      </w:r>
      <w:r>
        <w:rPr>
          <w:b/>
        </w:rPr>
        <w:t xml:space="preserve">Iłowo-Osada </w:t>
      </w:r>
      <w:r w:rsidRPr="00EC6D38">
        <w:rPr>
          <w:b/>
        </w:rPr>
        <w:t xml:space="preserve">z dnia </w:t>
      </w:r>
      <w:r>
        <w:rPr>
          <w:b/>
        </w:rPr>
        <w:t>15</w:t>
      </w:r>
      <w:r w:rsidRPr="00EC6D38">
        <w:rPr>
          <w:b/>
        </w:rPr>
        <w:t>.12</w:t>
      </w:r>
      <w:r>
        <w:rPr>
          <w:b/>
        </w:rPr>
        <w:t>.</w:t>
      </w:r>
      <w:r w:rsidRPr="00EC6D38">
        <w:rPr>
          <w:b/>
        </w:rPr>
        <w:t>20</w:t>
      </w:r>
      <w:r>
        <w:rPr>
          <w:b/>
        </w:rPr>
        <w:t>25</w:t>
      </w:r>
      <w:r w:rsidRPr="00EC6D38">
        <w:rPr>
          <w:b/>
        </w:rPr>
        <w:t xml:space="preserve"> r. do projektu WPF Gminy </w:t>
      </w:r>
      <w:r>
        <w:rPr>
          <w:b/>
        </w:rPr>
        <w:t>Iłow</w:t>
      </w:r>
      <w:r w:rsidRPr="00EC6D38">
        <w:rPr>
          <w:b/>
        </w:rPr>
        <w:t>o</w:t>
      </w:r>
      <w:r>
        <w:rPr>
          <w:b/>
        </w:rPr>
        <w:t>-Osada</w:t>
      </w:r>
      <w:r w:rsidRPr="00EC6D38">
        <w:rPr>
          <w:b/>
        </w:rPr>
        <w:t xml:space="preserve"> na </w:t>
      </w:r>
      <w:r>
        <w:rPr>
          <w:b/>
        </w:rPr>
        <w:t xml:space="preserve">lata </w:t>
      </w:r>
      <w:r w:rsidRPr="00EC6D38">
        <w:rPr>
          <w:b/>
        </w:rPr>
        <w:t>20</w:t>
      </w:r>
      <w:r>
        <w:rPr>
          <w:b/>
        </w:rPr>
        <w:t xml:space="preserve">26 -2030. </w:t>
      </w:r>
    </w:p>
    <w:p w14:paraId="64C2B087" w14:textId="77777777" w:rsidR="00700A11" w:rsidRDefault="00700A11" w:rsidP="00700A11">
      <w:pPr>
        <w:spacing w:line="360" w:lineRule="auto"/>
        <w:jc w:val="both"/>
      </w:pPr>
    </w:p>
    <w:p w14:paraId="1BFB119F" w14:textId="5C4D946D" w:rsidR="00700A11" w:rsidRDefault="00700A11" w:rsidP="00700A11">
      <w:pPr>
        <w:spacing w:line="360" w:lineRule="auto"/>
        <w:ind w:left="60"/>
        <w:jc w:val="both"/>
      </w:pPr>
      <w:r>
        <w:t xml:space="preserve">W związku z wprowadzeniem do budżetu </w:t>
      </w:r>
      <w:r w:rsidR="00F42231">
        <w:t xml:space="preserve">następujących </w:t>
      </w:r>
      <w:r>
        <w:t>zmian:</w:t>
      </w:r>
    </w:p>
    <w:p w14:paraId="09DFCDCB" w14:textId="659C18FC" w:rsidR="00700A11" w:rsidRDefault="00700A11" w:rsidP="00700A11">
      <w:pPr>
        <w:numPr>
          <w:ilvl w:val="0"/>
          <w:numId w:val="1"/>
        </w:numPr>
        <w:spacing w:line="360" w:lineRule="auto"/>
        <w:jc w:val="both"/>
      </w:pPr>
      <w:r>
        <w:t xml:space="preserve">Dodano zadanie inwestycyjne rozpoczęte w roku 2024 pn. „Rozbudowa sieci kanalizacji sanitarnej dla miejscowości Brodowo-Gajówki; Gajówki-Mansfeldy gm. Iłowo-Osada” – 2.163.130,00 zł. </w:t>
      </w:r>
    </w:p>
    <w:p w14:paraId="69E68DBB" w14:textId="77777777" w:rsidR="00700A11" w:rsidRDefault="00700A11" w:rsidP="00700A11">
      <w:pPr>
        <w:numPr>
          <w:ilvl w:val="0"/>
          <w:numId w:val="1"/>
        </w:numPr>
        <w:spacing w:line="360" w:lineRule="auto"/>
        <w:jc w:val="both"/>
      </w:pPr>
      <w:r>
        <w:t xml:space="preserve">Zwiększono środki na zadanie inwestycyjne pn. „Modernizacja oczyszczalni ścieków w m. Iłowo-Osada II etap” o kwotę – 26.365,00 zł. </w:t>
      </w:r>
    </w:p>
    <w:p w14:paraId="4CD8267C" w14:textId="350CD7A5" w:rsidR="00700A11" w:rsidRDefault="00700A11" w:rsidP="00700A11">
      <w:pPr>
        <w:numPr>
          <w:ilvl w:val="0"/>
          <w:numId w:val="1"/>
        </w:numPr>
        <w:spacing w:line="360" w:lineRule="auto"/>
        <w:jc w:val="both"/>
      </w:pPr>
      <w:r>
        <w:t>Zwiększono rezerwę ogólną o 1.000,00 zł</w:t>
      </w:r>
      <w:r w:rsidR="00F42231">
        <w:t xml:space="preserve">, </w:t>
      </w:r>
      <w:r>
        <w:t>dokonano zmian w:</w:t>
      </w:r>
    </w:p>
    <w:p w14:paraId="1B493DF0" w14:textId="77777777" w:rsidR="00700A11" w:rsidRDefault="00700A11" w:rsidP="00700A11">
      <w:pPr>
        <w:spacing w:line="360" w:lineRule="auto"/>
        <w:jc w:val="both"/>
      </w:pPr>
      <w:r>
        <w:t>Załączniku Nr 1 „Wieloletnia Prognoza Finansowa” do Projektu Uchwały w sprawie WPF Gminy Iłowo-Osada na lata 2026-2030 w następujących pozycjach WPF:</w:t>
      </w:r>
    </w:p>
    <w:p w14:paraId="63D9E053" w14:textId="77777777" w:rsidR="00700A11" w:rsidRDefault="00700A11" w:rsidP="00700A11">
      <w:pPr>
        <w:spacing w:line="360" w:lineRule="auto"/>
        <w:jc w:val="both"/>
      </w:pPr>
      <w:r>
        <w:t>W roku 2026 zmieniono:</w:t>
      </w:r>
    </w:p>
    <w:p w14:paraId="387FBC93" w14:textId="77777777" w:rsidR="00700A11" w:rsidRDefault="00700A11" w:rsidP="00700A11">
      <w:pPr>
        <w:spacing w:line="360" w:lineRule="auto"/>
        <w:jc w:val="both"/>
      </w:pPr>
      <w:r>
        <w:t>- dochody ogółem – po zmianie- 50.685.976,03 zł,</w:t>
      </w:r>
    </w:p>
    <w:p w14:paraId="177226E0" w14:textId="77777777" w:rsidR="00700A11" w:rsidRDefault="00700A11" w:rsidP="00700A11">
      <w:pPr>
        <w:spacing w:line="360" w:lineRule="auto"/>
        <w:jc w:val="both"/>
      </w:pPr>
      <w:r>
        <w:t>- dochody majątkowe – po zmianie – 9.510.429,00 zł,</w:t>
      </w:r>
    </w:p>
    <w:p w14:paraId="114A2031" w14:textId="77777777" w:rsidR="00700A11" w:rsidRDefault="00700A11" w:rsidP="00700A11">
      <w:pPr>
        <w:spacing w:line="360" w:lineRule="auto"/>
        <w:jc w:val="both"/>
      </w:pPr>
      <w:r>
        <w:t>- dochody z tytułu dotacji oraz środków przeznaczonych na inwestycje – po zmianie – 9.460.429,00 zł,</w:t>
      </w:r>
    </w:p>
    <w:p w14:paraId="63C1AFD8" w14:textId="77777777" w:rsidR="00700A11" w:rsidRDefault="00700A11" w:rsidP="00700A11">
      <w:pPr>
        <w:spacing w:line="360" w:lineRule="auto"/>
        <w:jc w:val="both"/>
      </w:pPr>
      <w:r>
        <w:t>- wydatki ogółem – po zmianie – 54.290.945,03 zł,</w:t>
      </w:r>
    </w:p>
    <w:p w14:paraId="1883EC94" w14:textId="77777777" w:rsidR="00700A11" w:rsidRDefault="00700A11" w:rsidP="00700A11">
      <w:pPr>
        <w:spacing w:line="360" w:lineRule="auto"/>
        <w:jc w:val="both"/>
      </w:pPr>
      <w:r>
        <w:t>- wydatki bieżące – po zmianie – 37.676.086,03 zł,</w:t>
      </w:r>
    </w:p>
    <w:p w14:paraId="1817ADF4" w14:textId="77777777" w:rsidR="00700A11" w:rsidRDefault="00700A11" w:rsidP="00700A11">
      <w:pPr>
        <w:spacing w:line="360" w:lineRule="auto"/>
        <w:jc w:val="both"/>
      </w:pPr>
      <w:r>
        <w:t>- wydatki majątkowe – po zmianie – 16.614.859,00 zł w tym inwestycje i zakupy inwestycyjne 16.614.859,00 zł,</w:t>
      </w:r>
    </w:p>
    <w:p w14:paraId="5F79285B" w14:textId="77777777" w:rsidR="00700A11" w:rsidRDefault="00700A11" w:rsidP="00700A11">
      <w:pPr>
        <w:spacing w:line="360" w:lineRule="auto"/>
        <w:jc w:val="both"/>
      </w:pPr>
      <w:r>
        <w:t>- wynik budżetu – po zmianie – 3.604.969,00 zł,</w:t>
      </w:r>
    </w:p>
    <w:p w14:paraId="460E062C" w14:textId="77777777" w:rsidR="00700A11" w:rsidRDefault="00700A11" w:rsidP="00700A11">
      <w:pPr>
        <w:spacing w:line="360" w:lineRule="auto"/>
        <w:jc w:val="both"/>
      </w:pPr>
      <w:r>
        <w:t>- przychody budżetu – po zmianie – 4.424.969,00 zł,</w:t>
      </w:r>
    </w:p>
    <w:p w14:paraId="230F9B08" w14:textId="77777777" w:rsidR="00700A11" w:rsidRDefault="00700A11" w:rsidP="00700A11">
      <w:pPr>
        <w:spacing w:line="360" w:lineRule="auto"/>
        <w:jc w:val="both"/>
      </w:pPr>
      <w:r>
        <w:t>- wolne środki – po zmianie – 4.364.969,00 zł, w tym na pokrycie deficytu – po zmianie – 3.604.969,00 zł,</w:t>
      </w:r>
    </w:p>
    <w:p w14:paraId="28BB3B9A" w14:textId="77777777" w:rsidR="00700A11" w:rsidRDefault="00700A11" w:rsidP="00700A11">
      <w:pPr>
        <w:spacing w:line="360" w:lineRule="auto"/>
        <w:jc w:val="both"/>
      </w:pPr>
      <w:r>
        <w:t>- różnicę między dochodami bieżącymi a wydatkami bieżącymi – po zmianie – 3.499.461,00 zł,</w:t>
      </w:r>
    </w:p>
    <w:p w14:paraId="31EA578A" w14:textId="77777777" w:rsidR="00700A11" w:rsidRDefault="00700A11" w:rsidP="00700A11">
      <w:pPr>
        <w:spacing w:line="360" w:lineRule="auto"/>
        <w:jc w:val="both"/>
      </w:pPr>
      <w:r>
        <w:t>- różnicę miedzy dochodami bieżącymi, skorygowanymi o wolne środki a wydatkami bieżącymi – po zmianie – 7.864.430,00 zł,</w:t>
      </w:r>
    </w:p>
    <w:p w14:paraId="062D25BF" w14:textId="77777777" w:rsidR="00700A11" w:rsidRPr="00D7019A" w:rsidRDefault="00700A11" w:rsidP="00700A11">
      <w:pPr>
        <w:spacing w:line="360" w:lineRule="auto"/>
        <w:jc w:val="both"/>
      </w:pPr>
      <w:r w:rsidRPr="00D7019A">
        <w:t xml:space="preserve">- wydatki objęte limitem – po zmianie – </w:t>
      </w:r>
      <w:r>
        <w:t>10.349.904,00</w:t>
      </w:r>
      <w:r w:rsidRPr="00D7019A">
        <w:t xml:space="preserve"> zł,</w:t>
      </w:r>
    </w:p>
    <w:p w14:paraId="0D0DD759" w14:textId="77777777" w:rsidR="00700A11" w:rsidRPr="00D7019A" w:rsidRDefault="00700A11" w:rsidP="00700A11">
      <w:pPr>
        <w:spacing w:line="360" w:lineRule="auto"/>
        <w:jc w:val="both"/>
      </w:pPr>
      <w:r w:rsidRPr="00D7019A">
        <w:t xml:space="preserve">  w tym </w:t>
      </w:r>
      <w:r>
        <w:t>majątkowe</w:t>
      </w:r>
      <w:r w:rsidRPr="00D7019A">
        <w:t xml:space="preserve"> – </w:t>
      </w:r>
      <w:r>
        <w:t>po zmianie – 10.093.124,00</w:t>
      </w:r>
      <w:r w:rsidRPr="00D7019A">
        <w:t xml:space="preserve"> zł.</w:t>
      </w:r>
    </w:p>
    <w:p w14:paraId="670B2555" w14:textId="77777777" w:rsidR="00700A11" w:rsidRDefault="00700A11" w:rsidP="00700A11">
      <w:pPr>
        <w:spacing w:line="360" w:lineRule="auto"/>
        <w:ind w:left="60"/>
        <w:jc w:val="both"/>
      </w:pPr>
      <w:r>
        <w:t>W załączniku Nr 2 „Wykaz przedsięwzięć do WPF” dodano przedsięwzięcie:</w:t>
      </w:r>
    </w:p>
    <w:p w14:paraId="31A409F8" w14:textId="77777777" w:rsidR="00700A11" w:rsidRDefault="00700A11" w:rsidP="00700A11">
      <w:pPr>
        <w:spacing w:line="360" w:lineRule="auto"/>
        <w:ind w:left="60"/>
        <w:jc w:val="both"/>
      </w:pPr>
      <w:r>
        <w:lastRenderedPageBreak/>
        <w:t xml:space="preserve">- „Rozbudowa sieci kanalizacji sanitarnej dla miejscowości Brodowo-Gajówki; Gajówki-Mansfeldy w gm. Iłowo-Osada” – zadanie realizowane w latach 2024-2026 – całkowita wartość zadania – 4.335.930,00 zł. Limit wydatków na rok 2026 – 2.163.130,00 zł. </w:t>
      </w:r>
    </w:p>
    <w:p w14:paraId="2D933CF4" w14:textId="77777777" w:rsidR="00F42231" w:rsidRDefault="00F42231" w:rsidP="00700A11">
      <w:pPr>
        <w:spacing w:line="360" w:lineRule="auto"/>
        <w:ind w:left="60"/>
        <w:jc w:val="both"/>
      </w:pPr>
    </w:p>
    <w:p w14:paraId="7D1F2BA2" w14:textId="14341A32" w:rsidR="00700A11" w:rsidRDefault="00700A11" w:rsidP="00700A11">
      <w:pPr>
        <w:spacing w:line="360" w:lineRule="auto"/>
        <w:jc w:val="both"/>
      </w:pPr>
      <w:r>
        <w:t xml:space="preserve">Zwiększono środki na zadanie inwestycyjne pn. „Modernizacja oczyszczalni ścieków w m. Iłowo-Osada II etap” o kwotę – 26.365,00 zł. Po zmianie wartość przedsięwzięcia 1.526.365,00 zł. Limit wydatków na rok 2026 – 1.526.365,00 zł.  </w:t>
      </w:r>
    </w:p>
    <w:p w14:paraId="2FD9DD10" w14:textId="77777777" w:rsidR="00700A11" w:rsidRDefault="00700A11" w:rsidP="00700A11">
      <w:pPr>
        <w:spacing w:line="360" w:lineRule="auto"/>
        <w:ind w:left="60"/>
        <w:jc w:val="both"/>
      </w:pPr>
    </w:p>
    <w:p w14:paraId="5402885A" w14:textId="77777777" w:rsidR="00700A11" w:rsidRDefault="00700A11" w:rsidP="00700A11">
      <w:pPr>
        <w:spacing w:line="360" w:lineRule="auto"/>
        <w:ind w:left="60"/>
        <w:jc w:val="both"/>
      </w:pPr>
      <w:r>
        <w:t>W związku z powyższymi zmianami dokonano stosownych zmian w załączniku Nr 3 do Wieloletniej Prognozy Finansowej na lata 2026-2030 „Objaśnienia do WPF”</w:t>
      </w:r>
    </w:p>
    <w:p w14:paraId="0035C0DD" w14:textId="77777777" w:rsidR="00700A11" w:rsidRDefault="00700A11" w:rsidP="00700A11">
      <w:pPr>
        <w:spacing w:line="360" w:lineRule="auto"/>
        <w:ind w:left="60"/>
        <w:jc w:val="both"/>
      </w:pPr>
    </w:p>
    <w:p w14:paraId="29347B6F" w14:textId="77777777" w:rsidR="00700A11" w:rsidRDefault="00700A11" w:rsidP="00700A11">
      <w:pPr>
        <w:spacing w:line="360" w:lineRule="auto"/>
        <w:ind w:left="60"/>
        <w:jc w:val="both"/>
      </w:pPr>
    </w:p>
    <w:p w14:paraId="5D701E0D" w14:textId="77777777" w:rsidR="00700A11" w:rsidRDefault="00700A11" w:rsidP="00700A11">
      <w:pPr>
        <w:spacing w:line="360" w:lineRule="auto"/>
        <w:ind w:left="60"/>
        <w:jc w:val="both"/>
      </w:pPr>
    </w:p>
    <w:p w14:paraId="313DC0F3" w14:textId="77777777" w:rsidR="00700A11" w:rsidRDefault="00700A11" w:rsidP="00700A11">
      <w:pPr>
        <w:spacing w:line="360" w:lineRule="auto"/>
        <w:ind w:left="60"/>
        <w:jc w:val="both"/>
      </w:pPr>
    </w:p>
    <w:p w14:paraId="291FF728" w14:textId="77777777" w:rsidR="00700A11" w:rsidRDefault="00700A11" w:rsidP="00700A11">
      <w:pPr>
        <w:spacing w:line="360" w:lineRule="auto"/>
        <w:ind w:left="60"/>
        <w:jc w:val="both"/>
      </w:pPr>
    </w:p>
    <w:p w14:paraId="4A597AF1" w14:textId="77777777" w:rsidR="00700A11" w:rsidRDefault="00700A11" w:rsidP="00700A11">
      <w:pPr>
        <w:spacing w:line="360" w:lineRule="auto"/>
        <w:ind w:left="60"/>
        <w:jc w:val="both"/>
      </w:pPr>
    </w:p>
    <w:p w14:paraId="65CE5F58" w14:textId="77777777" w:rsidR="00700A11" w:rsidRDefault="00700A11" w:rsidP="00700A11">
      <w:pPr>
        <w:spacing w:line="360" w:lineRule="auto"/>
        <w:ind w:left="60"/>
        <w:jc w:val="both"/>
      </w:pPr>
    </w:p>
    <w:p w14:paraId="392C8D1C" w14:textId="77777777" w:rsidR="00700A11" w:rsidRDefault="00700A11" w:rsidP="00700A11">
      <w:pPr>
        <w:spacing w:line="360" w:lineRule="auto"/>
        <w:ind w:left="60"/>
        <w:jc w:val="both"/>
      </w:pPr>
    </w:p>
    <w:p w14:paraId="6071A86E" w14:textId="77777777" w:rsidR="0035063D" w:rsidRDefault="0035063D"/>
    <w:sectPr w:rsidR="00350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A02B47"/>
    <w:multiLevelType w:val="hybridMultilevel"/>
    <w:tmpl w:val="F976E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07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11"/>
    <w:rsid w:val="0020003E"/>
    <w:rsid w:val="0035063D"/>
    <w:rsid w:val="003C6E69"/>
    <w:rsid w:val="005C4DAE"/>
    <w:rsid w:val="006366F8"/>
    <w:rsid w:val="00700A11"/>
    <w:rsid w:val="00B71CDD"/>
    <w:rsid w:val="00F4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38AE"/>
  <w15:chartTrackingRefBased/>
  <w15:docId w15:val="{C346D9EA-A5B1-446F-8596-4D6CF307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A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0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A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A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A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A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A1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A1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A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A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A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A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A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A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A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A1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A1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A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3</cp:revision>
  <cp:lastPrinted>2025-12-16T12:53:00Z</cp:lastPrinted>
  <dcterms:created xsi:type="dcterms:W3CDTF">2025-12-16T12:17:00Z</dcterms:created>
  <dcterms:modified xsi:type="dcterms:W3CDTF">2025-12-16T12:54:00Z</dcterms:modified>
</cp:coreProperties>
</file>